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09"/>
        <w:gridCol w:w="1717"/>
        <w:gridCol w:w="4320"/>
      </w:tblGrid>
      <w:tr w:rsidR="0096269F" w:rsidTr="00B42A69">
        <w:trPr>
          <w:cantSplit/>
        </w:trPr>
        <w:tc>
          <w:tcPr>
            <w:tcW w:w="4309" w:type="dxa"/>
            <w:shd w:val="clear" w:color="auto" w:fill="auto"/>
          </w:tcPr>
          <w:p w:rsidR="0096269F" w:rsidRPr="00413D6E" w:rsidRDefault="0096269F" w:rsidP="00B42A6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96269F" w:rsidRPr="00413D6E" w:rsidRDefault="0096269F" w:rsidP="00B42A6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96269F" w:rsidRPr="00413D6E" w:rsidRDefault="0096269F" w:rsidP="00B42A69">
            <w:pPr>
              <w:pStyle w:val="4"/>
            </w:pPr>
            <w:r w:rsidRPr="00413D6E">
              <w:t>МУНИЦИПАЛЬ РАЙОНЫ*</w:t>
            </w:r>
          </w:p>
          <w:p w:rsidR="0096269F" w:rsidRPr="00413D6E" w:rsidRDefault="0096269F" w:rsidP="00B42A69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96269F" w:rsidRPr="005C5991" w:rsidRDefault="0096269F" w:rsidP="00B42A69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96269F" w:rsidRDefault="0096269F" w:rsidP="00B42A6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96269F" w:rsidRPr="005C5991" w:rsidRDefault="0096269F" w:rsidP="00B42A69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6269F" w:rsidRPr="00D36521" w:rsidTr="00B42A69">
        <w:trPr>
          <w:cantSplit/>
        </w:trPr>
        <w:tc>
          <w:tcPr>
            <w:tcW w:w="4309" w:type="dxa"/>
            <w:shd w:val="clear" w:color="auto" w:fill="auto"/>
          </w:tcPr>
          <w:p w:rsidR="0096269F" w:rsidRPr="00D36521" w:rsidRDefault="0096269F" w:rsidP="00B42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96269F" w:rsidRPr="00D36521" w:rsidRDefault="0096269F" w:rsidP="00B42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96269F" w:rsidRPr="00D36521" w:rsidRDefault="0096269F" w:rsidP="00B42A6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96269F" w:rsidRPr="00D36521" w:rsidRDefault="0096269F" w:rsidP="00B42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96269F" w:rsidRPr="00D36521" w:rsidRDefault="0096269F" w:rsidP="00B42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6269F" w:rsidRPr="00D36521" w:rsidTr="00B42A6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269F" w:rsidRPr="00D36521" w:rsidRDefault="0096269F" w:rsidP="00B42A6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96269F" w:rsidRPr="00D36521" w:rsidRDefault="00ED0B14" w:rsidP="009626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pict>
          <v:line id="_x0000_s1026" style="position:absolute;z-index:251658240;mso-position-horizontal-relative:text;mso-position-vertical-relative:text" from="-36pt,1.35pt" to="486pt,1.35pt" strokeweight="1.59mm">
            <v:stroke joinstyle="miter"/>
          </v:line>
        </w:pict>
      </w:r>
    </w:p>
    <w:p w:rsidR="0096269F" w:rsidRPr="0096269F" w:rsidRDefault="0096269F" w:rsidP="0096269F">
      <w:pPr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Bashk" w:hAnsi="TimBashk" w:cs="Times New Roman"/>
          <w:b/>
          <w:sz w:val="24"/>
          <w:szCs w:val="24"/>
        </w:rPr>
        <w:t>?</w:t>
      </w:r>
      <w:r w:rsidRPr="0096269F">
        <w:rPr>
          <w:rFonts w:ascii="Times New Roman" w:hAnsi="Times New Roman" w:cs="Times New Roman"/>
          <w:b/>
          <w:sz w:val="24"/>
          <w:szCs w:val="24"/>
        </w:rPr>
        <w:t>АРАР</w:t>
      </w:r>
      <w:r w:rsidRPr="0096269F">
        <w:rPr>
          <w:rFonts w:ascii="Times New Roman" w:hAnsi="Times New Roman" w:cs="Times New Roman"/>
          <w:b/>
          <w:sz w:val="24"/>
          <w:szCs w:val="24"/>
        </w:rPr>
        <w:tab/>
      </w:r>
      <w:r w:rsidRPr="0096269F">
        <w:rPr>
          <w:rFonts w:ascii="Times New Roman" w:hAnsi="Times New Roman" w:cs="Times New Roman"/>
          <w:b/>
          <w:sz w:val="24"/>
          <w:szCs w:val="24"/>
        </w:rPr>
        <w:tab/>
      </w:r>
      <w:r w:rsidR="0082355A">
        <w:rPr>
          <w:rFonts w:ascii="Times New Roman" w:hAnsi="Times New Roman" w:cs="Times New Roman"/>
          <w:b/>
          <w:sz w:val="24"/>
          <w:szCs w:val="24"/>
        </w:rPr>
        <w:tab/>
      </w:r>
      <w:r w:rsidR="0082355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626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69F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626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269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6269F" w:rsidRDefault="0096269F" w:rsidP="0096269F">
      <w:pPr>
        <w:jc w:val="center"/>
        <w:rPr>
          <w:b/>
          <w:sz w:val="28"/>
          <w:szCs w:val="28"/>
        </w:rPr>
      </w:pPr>
      <w:r w:rsidRPr="0096269F">
        <w:rPr>
          <w:rFonts w:ascii="Times New Roman" w:hAnsi="Times New Roman" w:cs="Times New Roman"/>
          <w:sz w:val="24"/>
          <w:szCs w:val="24"/>
        </w:rPr>
        <w:t>«07» августа 2013 й.</w:t>
      </w:r>
      <w:r w:rsidRPr="0096269F">
        <w:rPr>
          <w:rFonts w:ascii="Times New Roman" w:hAnsi="Times New Roman" w:cs="Times New Roman"/>
          <w:sz w:val="24"/>
          <w:szCs w:val="24"/>
        </w:rPr>
        <w:tab/>
      </w:r>
      <w:r w:rsidRPr="0096269F">
        <w:rPr>
          <w:rFonts w:ascii="Times New Roman" w:hAnsi="Times New Roman" w:cs="Times New Roman"/>
          <w:sz w:val="24"/>
          <w:szCs w:val="24"/>
        </w:rPr>
        <w:tab/>
        <w:t xml:space="preserve">                     №42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269F">
        <w:rPr>
          <w:rFonts w:ascii="Times New Roman" w:hAnsi="Times New Roman" w:cs="Times New Roman"/>
          <w:sz w:val="24"/>
          <w:szCs w:val="24"/>
        </w:rPr>
        <w:t xml:space="preserve">  от «07» августа 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69F" w:rsidRPr="0096269F" w:rsidRDefault="0096269F" w:rsidP="0096269F">
      <w:pPr>
        <w:tabs>
          <w:tab w:val="left" w:pos="4680"/>
        </w:tabs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  <w:r w:rsidRPr="0096269F">
        <w:rPr>
          <w:rFonts w:ascii="Times New Roman" w:hAnsi="Times New Roman" w:cs="Times New Roman"/>
          <w:b/>
          <w:sz w:val="24"/>
          <w:szCs w:val="24"/>
        </w:rPr>
        <w:t xml:space="preserve">муниципальном звене территориальной подсистемы единой государственной системы предупреждения и ликвидации чрезвычайных ситуаций на территории 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Ростовский</w:t>
      </w:r>
      <w:r w:rsidRPr="0096269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</w:p>
    <w:p w:rsidR="0096269F" w:rsidRPr="0096269F" w:rsidRDefault="0096269F" w:rsidP="0096269F">
      <w:pPr>
        <w:tabs>
          <w:tab w:val="left" w:pos="4680"/>
        </w:tabs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69F" w:rsidRPr="000B3DA1" w:rsidRDefault="0096269F" w:rsidP="0096269F">
      <w:pPr>
        <w:ind w:right="-5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269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Pr="000B3DA1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B3DA1">
          <w:rPr>
            <w:rFonts w:ascii="Times New Roman" w:hAnsi="Times New Roman" w:cs="Times New Roman"/>
            <w:color w:val="000000" w:themeColor="text1"/>
            <w:sz w:val="24"/>
            <w:szCs w:val="24"/>
          </w:rPr>
          <w:t>1994 г</w:t>
        </w:r>
      </w:smartTag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0B3DA1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B3DA1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2003 г</w:t>
        </w:r>
      </w:smartTag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</w:t>
      </w:r>
      <w:hyperlink r:id="rId8" w:history="1">
        <w:r w:rsidRPr="000B3DA1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Республики Башкортостан от 30.12.2005 № 294 «О Башкирской территориальной подсистеме единой государственной системы предупреждения и ликвидации чрезвычайных</w:t>
      </w:r>
      <w:proofErr w:type="gramEnd"/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ситуаций» </w:t>
      </w:r>
    </w:p>
    <w:p w:rsidR="0096269F" w:rsidRPr="000B3DA1" w:rsidRDefault="0096269F" w:rsidP="0096269F">
      <w:pPr>
        <w:ind w:right="-55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3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96269F" w:rsidRPr="000B3DA1" w:rsidRDefault="0096269F" w:rsidP="0096269F">
      <w:pPr>
        <w:tabs>
          <w:tab w:val="left" w:pos="0"/>
        </w:tabs>
        <w:ind w:right="-2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Утвердить:</w:t>
      </w:r>
    </w:p>
    <w:p w:rsidR="0096269F" w:rsidRPr="000B3DA1" w:rsidRDefault="0096269F" w:rsidP="0096269F">
      <w:pPr>
        <w:tabs>
          <w:tab w:val="left" w:pos="0"/>
        </w:tabs>
        <w:ind w:right="-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1.1. </w:t>
      </w:r>
      <w:hyperlink w:anchor="sub_1000" w:history="1">
        <w:r w:rsidRPr="000B3DA1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Положение</w:t>
        </w:r>
      </w:hyperlink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0B3D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B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муниципальном</w:t>
      </w:r>
      <w:r w:rsidRPr="000B3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сельского поселения Ростовский сельсовет муниципального района Мечетлинский район Республики Башкортостан</w:t>
      </w: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(Приложение № 1).</w:t>
      </w:r>
      <w:bookmarkStart w:id="0" w:name="sub_12"/>
    </w:p>
    <w:p w:rsidR="0096269F" w:rsidRPr="0096269F" w:rsidRDefault="0096269F" w:rsidP="0096269F">
      <w:pPr>
        <w:tabs>
          <w:tab w:val="left" w:pos="0"/>
        </w:tabs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1.2. </w:t>
      </w:r>
      <w:r w:rsidRPr="000B3DA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Структуру</w:t>
      </w: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звена территориальной подсистемы единой государственной системы предупре</w:t>
      </w:r>
      <w:r w:rsidRPr="0096269F">
        <w:rPr>
          <w:rFonts w:ascii="Times New Roman" w:hAnsi="Times New Roman" w:cs="Times New Roman"/>
          <w:sz w:val="24"/>
          <w:szCs w:val="24"/>
        </w:rPr>
        <w:t xml:space="preserve">ждения и ликвидации чрезвычайных ситуаций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(Приложение № 2).</w:t>
      </w:r>
      <w:bookmarkEnd w:id="0"/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муниципального района Мечетлинский район Республики </w:t>
      </w:r>
      <w:r w:rsidRPr="0096269F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разработать и утвердить положения, структуру, состав сил и средств объектовых звеньев </w:t>
      </w:r>
      <w:r w:rsidRPr="0096269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6269F">
        <w:rPr>
          <w:rFonts w:ascii="Times New Roman" w:hAnsi="Times New Roman" w:cs="Times New Roman"/>
          <w:sz w:val="24"/>
          <w:szCs w:val="24"/>
        </w:rPr>
        <w:t xml:space="preserve"> звена 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bookmarkStart w:id="1" w:name="sub_3"/>
      <w:proofErr w:type="gramEnd"/>
    </w:p>
    <w:p w:rsidR="0096269F" w:rsidRPr="0096269F" w:rsidRDefault="0096269F" w:rsidP="0096269F">
      <w:pPr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3</w:t>
      </w:r>
      <w:bookmarkEnd w:id="1"/>
      <w:r w:rsidRPr="0096269F">
        <w:rPr>
          <w:rFonts w:ascii="Times New Roman" w:hAnsi="Times New Roman" w:cs="Times New Roman"/>
          <w:sz w:val="24"/>
          <w:szCs w:val="24"/>
        </w:rPr>
        <w:t xml:space="preserve">. </w:t>
      </w:r>
      <w:r w:rsidRPr="0096269F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данное постановление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96269F" w:rsidRPr="0096269F" w:rsidRDefault="0096269F" w:rsidP="0096269F">
      <w:pPr>
        <w:ind w:right="-2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hyperlink r:id="rId9" w:history="1">
        <w:r w:rsidRPr="0096269F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обнародования</w:t>
        </w:r>
      </w:hyperlink>
      <w:r w:rsidRPr="009626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69F" w:rsidRPr="0096269F" w:rsidRDefault="0096269F" w:rsidP="00962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  <w:r>
        <w:rPr>
          <w:rStyle w:val="a7"/>
          <w:b w:val="0"/>
          <w:bCs/>
          <w:color w:val="000000"/>
        </w:rPr>
        <w:t>Глава                                                                                                 И.М.Шарапов</w:t>
      </w: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DA0FF6" w:rsidRDefault="00DA0FF6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82355A" w:rsidRDefault="0082355A" w:rsidP="0096269F">
      <w:pPr>
        <w:pStyle w:val="Style12"/>
        <w:widowControl/>
        <w:spacing w:line="240" w:lineRule="exact"/>
        <w:jc w:val="both"/>
        <w:rPr>
          <w:rStyle w:val="a7"/>
          <w:b w:val="0"/>
          <w:bCs/>
          <w:color w:val="000000"/>
        </w:rPr>
      </w:pPr>
    </w:p>
    <w:p w:rsidR="00DA0FF6" w:rsidRDefault="00DA0FF6" w:rsidP="0082355A">
      <w:pPr>
        <w:pStyle w:val="Style12"/>
        <w:widowControl/>
        <w:spacing w:line="240" w:lineRule="exact"/>
        <w:jc w:val="right"/>
        <w:rPr>
          <w:rStyle w:val="a7"/>
          <w:b w:val="0"/>
          <w:bCs/>
          <w:color w:val="000000"/>
        </w:rPr>
      </w:pPr>
    </w:p>
    <w:p w:rsidR="0096269F" w:rsidRPr="00DA0FF6" w:rsidRDefault="00ED0B14" w:rsidP="00DA0FF6">
      <w:pPr>
        <w:pStyle w:val="a9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1.1pt;margin-top:0;width:131.05pt;height:114.75pt;z-index:251660288;mso-wrap-edited:f;mso-wrap-distance-left:1.9pt;mso-wrap-distance-right:1.9pt;mso-position-horizontal-relative:margin" filled="f" stroked="f">
            <v:textbox inset="0,0,0,0">
              <w:txbxContent>
                <w:p w:rsidR="0096269F" w:rsidRDefault="0096269F" w:rsidP="0096269F"/>
              </w:txbxContent>
            </v:textbox>
            <w10:wrap type="topAndBottom" side="right" anchorx="margin"/>
          </v:shape>
        </w:pict>
      </w:r>
      <w:r w:rsidR="0082355A">
        <w:rPr>
          <w:rStyle w:val="a7"/>
          <w:b w:val="0"/>
          <w:bCs/>
          <w:color w:val="000000"/>
        </w:rPr>
        <w:t xml:space="preserve">                                                                                                   </w:t>
      </w:r>
      <w:r w:rsidR="0096269F" w:rsidRPr="00DA0FF6">
        <w:rPr>
          <w:rStyle w:val="a7"/>
          <w:rFonts w:ascii="Times New Roman" w:hAnsi="Times New Roman" w:cs="Times New Roman"/>
          <w:b w:val="0"/>
          <w:bCs/>
          <w:color w:val="000000"/>
        </w:rPr>
        <w:t>Приложение № 1</w:t>
      </w:r>
    </w:p>
    <w:p w:rsidR="0096269F" w:rsidRPr="0096269F" w:rsidRDefault="0096269F" w:rsidP="00DA0FF6">
      <w:pPr>
        <w:pStyle w:val="a9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96269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96269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96269F" w:rsidRPr="0096269F" w:rsidRDefault="0096269F" w:rsidP="00DA0FF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6269F" w:rsidRPr="0096269F" w:rsidRDefault="0096269F" w:rsidP="00DA0FF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от 0</w:t>
      </w:r>
      <w:r w:rsidR="0082355A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7</w:t>
      </w: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 w:rsidRPr="0096269F">
          <w:rPr>
            <w:rStyle w:val="a7"/>
            <w:rFonts w:ascii="Times New Roman" w:hAnsi="Times New Roman" w:cs="Times New Roman"/>
            <w:b w:val="0"/>
            <w:bCs/>
            <w:color w:val="000000"/>
            <w:sz w:val="24"/>
            <w:szCs w:val="24"/>
          </w:rPr>
          <w:t>2013 г</w:t>
        </w:r>
      </w:smartTag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.  № </w:t>
      </w:r>
      <w:r w:rsidR="0082355A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4</w:t>
      </w: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2</w:t>
      </w:r>
    </w:p>
    <w:p w:rsidR="0096269F" w:rsidRPr="0096269F" w:rsidRDefault="0096269F" w:rsidP="0096269F">
      <w:pPr>
        <w:pStyle w:val="1"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269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9626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9F">
        <w:rPr>
          <w:rFonts w:ascii="Times New Roman" w:hAnsi="Times New Roman" w:cs="Times New Roman"/>
          <w:bCs w:val="0"/>
          <w:color w:val="000000"/>
          <w:sz w:val="24"/>
          <w:szCs w:val="24"/>
        </w:rPr>
        <w:t>о</w:t>
      </w:r>
      <w:r w:rsidRPr="009626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муниципальном</w:t>
      </w:r>
      <w:r w:rsidRPr="009626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bCs w:val="0"/>
          <w:color w:val="000000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96269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</w:t>
      </w:r>
      <w:r w:rsidR="0082355A">
        <w:rPr>
          <w:rFonts w:ascii="Times New Roman" w:hAnsi="Times New Roman" w:cs="Times New Roman"/>
          <w:color w:val="000000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</w:p>
    <w:p w:rsidR="0096269F" w:rsidRPr="0096269F" w:rsidRDefault="0096269F" w:rsidP="0096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b/>
          <w:sz w:val="24"/>
          <w:szCs w:val="24"/>
        </w:rPr>
        <w:t>Мечетлинский район Республики Башкортостан</w:t>
      </w:r>
    </w:p>
    <w:p w:rsidR="0096269F" w:rsidRPr="0096269F" w:rsidRDefault="0096269F" w:rsidP="00962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96269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6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на территории 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(далее - сельское звено ТП РСЧС).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Башкортостан, организаций, предприятий и учреждений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(далее - организации), в полномочия которых входит решение вопросов в области защиты населения и территорий от чрезвычайных ситуаций, и осуществляет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свою деятельность в целях выполнения задач, предусмотренных </w:t>
      </w:r>
      <w:r w:rsidRPr="0096269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</w:t>
      </w:r>
      <w:r w:rsidRPr="0096269F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6269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96269F">
        <w:rPr>
          <w:rFonts w:ascii="Times New Roman" w:hAnsi="Times New Roman" w:cs="Times New Roman"/>
          <w:sz w:val="24"/>
          <w:szCs w:val="24"/>
        </w:rPr>
        <w:t>. № 68-ФЗ «О защите населения и территорий от чрезвычайных ситуаций природного и техногенного характера», Закон Республики Башкортостан от 14.03.1996 № 26-з</w:t>
      </w:r>
      <w:r w:rsidRPr="0096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sz w:val="24"/>
          <w:szCs w:val="24"/>
        </w:rPr>
        <w:t>«О защите населения и территорий Республики Башкортостан от чрезвычайных ситуаций природного и техногенного характера».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3. Сельское звено ТП РСЧС создается для предупреждения и ликвидации чрезвычайных ситуаций в пределах границ сельского поселения 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Башкортостан, в его состав входят объектовые звенья, находящиеся на территории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>4. Сельское звено ТП РСЧС включает два уровня: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5. Координационными органами сельского звена ТП РСЧС являются: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и территориальных структурных подразделений администрации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Башкортостан;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и руководителями организаций.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6269F" w:rsidRPr="0096269F" w:rsidRDefault="0096269F" w:rsidP="009626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Постоянно действующими органами управления сельского звена ТП РСЧС являются: 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>) гражданской обороны при органах местного самоуправления);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Республики Башкортостан и правовыми актами администрации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дежурно-диспетчерские службы структурных подразделений администрации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Республики Башкортостан, правовыми актами администрации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решениями руководителей организаций (объектов).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организаций и общественных объединений, расположенных в границах сельского поселения  </w:t>
      </w:r>
      <w:r w:rsidR="0082355A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предназначенные и выделяемые (привлекаемые) для предупреждения и ликвидации чрезвычайных ситуаций.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6269F" w:rsidRPr="0096269F" w:rsidRDefault="0096269F" w:rsidP="0096269F">
      <w:pPr>
        <w:keepNext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</w:t>
      </w:r>
      <w:r w:rsidRPr="0096269F">
        <w:rPr>
          <w:rFonts w:ascii="Times New Roman" w:hAnsi="Times New Roman" w:cs="Times New Roman"/>
          <w:sz w:val="24"/>
          <w:szCs w:val="24"/>
        </w:rPr>
        <w:lastRenderedPageBreak/>
        <w:t>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69F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10" w:history="1">
        <w:r w:rsidRPr="0096269F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перечень</w:t>
        </w:r>
      </w:hyperlink>
      <w:r w:rsidRPr="0096269F">
        <w:rPr>
          <w:rFonts w:ascii="Times New Roman" w:hAnsi="Times New Roman" w:cs="Times New Roman"/>
          <w:sz w:val="24"/>
          <w:szCs w:val="24"/>
        </w:rPr>
        <w:t xml:space="preserve"> сил постоянной готовности территориальной подсистемы Республики Башкортостан единой государственной системы предупреждения и ликвидации чрезвычайных ситуаций, утвержденный </w:t>
      </w:r>
      <w:hyperlink r:id="rId11" w:history="1">
        <w:r w:rsidRPr="000B3DA1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0B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sz w:val="24"/>
          <w:szCs w:val="24"/>
        </w:rPr>
        <w:t>Правительства Республики Башкортостан от 30.12.2005 № 294 «О Башкирской территориальной подсистеме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и ликвидации последствий стихийных бедствий по Республике Башкортостан), и определяется приложением к Плану действий по предупреждению и ликвидации чрезвычайных ситуаций природного и техногенного характера в сельском поселении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утверждаемому главой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Состав и структуру сил постоянной готовности определяют создающие их органы местного самоуправления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осуществляет в установленном порядке комитет гражданской защиты населения администрации муниципального района </w:t>
      </w:r>
      <w:r w:rsidR="00F33F8E">
        <w:rPr>
          <w:rFonts w:ascii="Times New Roman" w:hAnsi="Times New Roman" w:cs="Times New Roman"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sz w:val="24"/>
          <w:szCs w:val="24"/>
        </w:rPr>
        <w:t xml:space="preserve">Мечетлинский </w:t>
      </w:r>
      <w:r w:rsidR="00F33F8E">
        <w:rPr>
          <w:rFonts w:ascii="Times New Roman" w:hAnsi="Times New Roman" w:cs="Times New Roman"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по решению органов исполнительной власти Республики Башкортостан,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руководителей организаций, осуществляющих руководство деятельностью указанных служб и формирований.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11. Для ликвидации чрезвычайных ситуаций создаются и используются: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>сельсовет;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 xml:space="preserve">резервы финансовых и материальных ресурсов организаций и общественных объединений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на объектовом уровне - решением руководителей организаций.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дств</w:t>
      </w:r>
      <w:r w:rsidR="00F33F8E">
        <w:rPr>
          <w:rFonts w:ascii="Times New Roman" w:hAnsi="Times New Roman" w:cs="Times New Roman"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организациями в порядке, установленном Правительством Российской Федерации, нормативными правовыми актами Республики Башкортостан и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Республики Башкортостан.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комитетом гражданской защиты населения администрации муниципального района Мечетлинский район Республики Башкортостан.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Республики Башкортостан.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14. При отсутствии угрозы возникновения чрезвычайных ситуаций на объектах, территории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органы управления и силы сельского звена ТП РСЧС функционируют в режиме повседневной деятельности.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Решениями главы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>режим повышенной готовности - при угрозе возникновения чрезвычайных ситуаций;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местный уровень реагирования - решением главы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при ликвидации чрезвычайной ситуации силами и средствами организаций 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оказавшимися в зоне чрезвычайной ситуации, если зона чрезвычайной ситуации находится в пределах территории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69F">
        <w:rPr>
          <w:rFonts w:ascii="Times New Roman" w:hAnsi="Times New Roman" w:cs="Times New Roman"/>
          <w:sz w:val="24"/>
          <w:szCs w:val="24"/>
        </w:rPr>
        <w:t xml:space="preserve">региональный (межмуниципальный) уровень реагирования - решением Правительства Республики Башкортостан при ликвидации чрезвычайной ситуации силами и средствами организаций, органов местного самоуправления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органов исполнительной власти Республики Башкортостан, оказавшихся в зоне чрезвычайной ситуации, которая затрагивает территории двух и более муниципальных районов либо территории муниципального района 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если зона чрезвычайной ситуации находится в пределах территории Республики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16. Решениями главы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6269F" w:rsidRPr="0096269F" w:rsidRDefault="0096269F" w:rsidP="0096269F">
      <w:pPr>
        <w:ind w:right="-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>силы и средства, привлекаемые к проведению мероприятий по предупреждению и ликвидации чрезвычайной ситуации;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руководители организаций отменяют установленные режимы функционирования.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или должностное лицо структурного подразделения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территорий от чрезвычайных ситуаций: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proofErr w:type="spellStart"/>
      <w:r w:rsidRPr="0096269F">
        <w:rPr>
          <w:rFonts w:ascii="Times New Roman" w:hAnsi="Times New Roman" w:cs="Times New Roman"/>
          <w:sz w:val="24"/>
          <w:szCs w:val="24"/>
        </w:rPr>
        <w:t>разбронирования</w:t>
      </w:r>
      <w:bookmarkStart w:id="2" w:name="_GoBack"/>
      <w:bookmarkEnd w:id="2"/>
      <w:proofErr w:type="spellEnd"/>
      <w:r w:rsidRPr="0096269F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язи и оповещения, а также иного имущества органов местного самоуправления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организаций;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69F">
        <w:rPr>
          <w:rFonts w:ascii="Times New Roman" w:hAnsi="Times New Roman" w:cs="Times New Roman"/>
          <w:sz w:val="24"/>
          <w:szCs w:val="24"/>
        </w:rPr>
        <w:lastRenderedPageBreak/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проводит эвакуационные мероприятия,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руководителей организаций, на территории которых произошла чрезвычайная ситуация.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оповещение главы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организаций, населения о возможности возникновения чрезвычайной ситуации;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 xml:space="preserve">оповещение главы администрации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председателя комиссии по предупреждению и ликвидации чрезвычайных ситуаций и обеспечению пожарной безопасности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органов управления и сил сельского звена ТП РСЧС, руководителей организаций, а также населения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о возникающих чрезвычайных ситуациях;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 и организаций. Поддержание непрерывного взаимодействия с органами исполнительной власти  Республики Башкортостан и территориальными органами управления федеральных органов исполнительной власти;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69F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организаций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>сельсовет;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69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- силами и средствами сельского звена ТП РСЧС;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межмуниципальной - силами и средствами сельского звена ТП РСЧС, органов исполнительной власти Республики Башкортостан, оказавшихся в зоне чрезвычайной ситуации.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96269F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96269F">
        <w:rPr>
          <w:rFonts w:ascii="Times New Roman" w:hAnsi="Times New Roman" w:cs="Times New Roman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21. Финансовое обеспечение функционирования сельского звена ТП РСЧС осуществляется за счет средств бюджета сельского поселения  </w:t>
      </w:r>
      <w:r w:rsidR="00F33F8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96269F" w:rsidRPr="0096269F" w:rsidRDefault="0096269F" w:rsidP="0096269F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6269F" w:rsidRPr="0096269F" w:rsidRDefault="0096269F" w:rsidP="0096269F">
      <w:pPr>
        <w:keepNext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Республики Башкортостан и правовыми актами администрации сельского поселения  </w:t>
      </w:r>
      <w:r w:rsidR="00511C3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6269F" w:rsidRPr="0096269F" w:rsidRDefault="0096269F" w:rsidP="0096269F">
      <w:pPr>
        <w:keepNext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96269F" w:rsidRPr="0096269F" w:rsidRDefault="0096269F" w:rsidP="0096269F">
      <w:pPr>
        <w:keepNext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br w:type="page"/>
      </w: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96269F" w:rsidRPr="0096269F" w:rsidRDefault="0096269F" w:rsidP="0096269F">
      <w:pPr>
        <w:keepNext/>
        <w:ind w:firstLine="720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96269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96269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96269F" w:rsidRPr="0096269F" w:rsidRDefault="0096269F" w:rsidP="0096269F">
      <w:pPr>
        <w:keepNext/>
        <w:ind w:firstLine="720"/>
        <w:jc w:val="right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96269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DA0FF6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</w:p>
    <w:p w:rsidR="0096269F" w:rsidRPr="0096269F" w:rsidRDefault="0096269F" w:rsidP="0096269F">
      <w:pPr>
        <w:keepNext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от 0</w:t>
      </w:r>
      <w:r w:rsidR="00511C3E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7</w:t>
      </w: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 w:rsidRPr="0096269F">
          <w:rPr>
            <w:rStyle w:val="a7"/>
            <w:rFonts w:ascii="Times New Roman" w:hAnsi="Times New Roman" w:cs="Times New Roman"/>
            <w:b w:val="0"/>
            <w:bCs/>
            <w:color w:val="000000"/>
            <w:sz w:val="24"/>
            <w:szCs w:val="24"/>
          </w:rPr>
          <w:t>2013 г</w:t>
        </w:r>
      </w:smartTag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. № </w:t>
      </w:r>
      <w:r w:rsidR="00511C3E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4</w:t>
      </w:r>
      <w:r w:rsidRPr="0096269F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2</w:t>
      </w:r>
    </w:p>
    <w:p w:rsidR="0096269F" w:rsidRPr="0096269F" w:rsidRDefault="0096269F" w:rsidP="0096269F">
      <w:pPr>
        <w:pStyle w:val="1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269F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9626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269F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муниципального</w:t>
      </w:r>
      <w:r w:rsidRPr="009626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6269F">
        <w:rPr>
          <w:rFonts w:ascii="Times New Roman" w:hAnsi="Times New Roman" w:cs="Times New Roman"/>
          <w:bCs w:val="0"/>
          <w:color w:val="000000"/>
          <w:sz w:val="24"/>
          <w:szCs w:val="24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96269F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96269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511C3E">
        <w:rPr>
          <w:rFonts w:ascii="Times New Roman" w:hAnsi="Times New Roman" w:cs="Times New Roman"/>
          <w:sz w:val="24"/>
          <w:szCs w:val="24"/>
        </w:rPr>
        <w:t>Ростовский</w:t>
      </w:r>
      <w:r w:rsidRPr="009626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269F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96269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96269F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69F" w:rsidRPr="0096269F" w:rsidRDefault="0096269F" w:rsidP="00B42A6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269F" w:rsidRPr="0096269F" w:rsidRDefault="0096269F" w:rsidP="00B42A69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269F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96269F" w:rsidRPr="0096269F" w:rsidRDefault="0096269F" w:rsidP="00B42A6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9F" w:rsidRPr="0096269F" w:rsidTr="00B42A6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69F" w:rsidRPr="0096269F" w:rsidRDefault="0096269F" w:rsidP="00511C3E">
            <w:pPr>
              <w:pStyle w:val="1"/>
              <w:keepLines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6269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Муниципальное</w:t>
            </w:r>
            <w:r w:rsidRPr="009626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6269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сельского поселения</w:t>
            </w:r>
            <w:r w:rsidRPr="009626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511C3E"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 w:rsidRPr="009626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6269F" w:rsidRPr="0096269F" w:rsidTr="00B42A6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1"/>
              <w:keepLines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Координационные органы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511C3E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96269F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511C3E">
              <w:rPr>
                <w:rFonts w:ascii="Times New Roman" w:hAnsi="Times New Roman" w:cs="Times New Roman"/>
              </w:rPr>
              <w:t>Ростовский</w:t>
            </w:r>
            <w:r w:rsidRPr="0096269F">
              <w:rPr>
                <w:rFonts w:ascii="Times New Roman" w:hAnsi="Times New Roman" w:cs="Times New Roman"/>
              </w:rPr>
              <w:t xml:space="preserve"> сельсовет</w:t>
            </w:r>
            <w:r w:rsidRPr="0096269F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</w:t>
            </w:r>
            <w:r w:rsidRPr="0096269F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511C3E">
              <w:rPr>
                <w:rFonts w:ascii="Times New Roman" w:hAnsi="Times New Roman" w:cs="Times New Roman"/>
              </w:rPr>
              <w:t xml:space="preserve">Ростовский </w:t>
            </w:r>
            <w:r w:rsidRPr="0096269F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511C3E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96269F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511C3E">
              <w:rPr>
                <w:rFonts w:ascii="Times New Roman" w:hAnsi="Times New Roman" w:cs="Times New Roman"/>
              </w:rPr>
              <w:t xml:space="preserve">Ростовский </w:t>
            </w:r>
            <w:r w:rsidRPr="0096269F">
              <w:rPr>
                <w:rFonts w:ascii="Times New Roman" w:hAnsi="Times New Roman" w:cs="Times New Roman"/>
              </w:rPr>
              <w:t>сельсовет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6269F" w:rsidRPr="0096269F" w:rsidTr="00B42A6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1"/>
              <w:keepLines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Комитет гражданской защиты населения администрации муниципального района Мечетлинский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Функциональное структурное подразделение администрации муниципального района Мечетлинский район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6269F" w:rsidRPr="0096269F" w:rsidTr="00B42A6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1"/>
              <w:keepLines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Органы повседневного управления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Единая дежурно-диспетчерская служба муниципального района Мечетлинский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Администрация муниципального района Мечетлинский район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</w:t>
            </w:r>
            <w:r w:rsidRPr="0096269F">
              <w:rPr>
                <w:rFonts w:ascii="Times New Roman" w:hAnsi="Times New Roman" w:cs="Times New Roman"/>
                <w:color w:val="000000"/>
              </w:rPr>
              <w:lastRenderedPageBreak/>
              <w:t>структурных подразделений администрации муниципального района Мечетлинский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муниципального района Мечетлинский район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lastRenderedPageBreak/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269F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96269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96269F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F" w:rsidRPr="0096269F" w:rsidRDefault="0096269F" w:rsidP="00B42A69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269F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69F" w:rsidRPr="0096269F" w:rsidRDefault="0096269F" w:rsidP="00B42A69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269F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96269F" w:rsidRPr="0096269F" w:rsidTr="00B42A6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1"/>
              <w:keepLines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Силы и средства наблюдения и </w:t>
            </w:r>
            <w:proofErr w:type="gramStart"/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96269F">
              <w:rPr>
                <w:rFonts w:ascii="Times New Roman" w:hAnsi="Times New Roman" w:cs="Times New Roman"/>
              </w:rPr>
              <w:t>муниципального района Мечетлинский район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6269F" w:rsidRPr="0096269F" w:rsidTr="00B42A6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1"/>
              <w:keepLines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Министерство здравоохранения Республике Башкортостан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6269F" w:rsidRPr="0096269F" w:rsidTr="00B42A6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1"/>
              <w:keepLines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Автоматизированная система централизованного оповещения населения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Комитет по обеспечению безопасности жизнедеятельности населения Республике Башкортостан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269F">
              <w:rPr>
                <w:rFonts w:ascii="Times New Roman" w:hAnsi="Times New Roman" w:cs="Times New Roman"/>
                <w:color w:val="000000"/>
              </w:rPr>
              <w:t>Большеустьикинский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 xml:space="preserve"> РУС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269F">
              <w:rPr>
                <w:rFonts w:ascii="Times New Roman" w:hAnsi="Times New Roman" w:cs="Times New Roman"/>
                <w:color w:val="000000"/>
              </w:rPr>
              <w:t>Большеустьикинский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 xml:space="preserve"> РУС</w:t>
            </w:r>
          </w:p>
        </w:tc>
      </w:tr>
      <w:tr w:rsidR="0096269F" w:rsidRPr="0096269F" w:rsidTr="00B42A6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9F" w:rsidRPr="0096269F" w:rsidRDefault="0096269F" w:rsidP="00B42A69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69F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BD5A1A" w:rsidRPr="0096269F" w:rsidRDefault="00BD5A1A" w:rsidP="00511C3E">
      <w:pPr>
        <w:rPr>
          <w:rFonts w:ascii="Times New Roman" w:hAnsi="Times New Roman" w:cs="Times New Roman"/>
          <w:sz w:val="24"/>
          <w:szCs w:val="24"/>
        </w:rPr>
      </w:pPr>
    </w:p>
    <w:sectPr w:rsidR="00BD5A1A" w:rsidRPr="0096269F" w:rsidSect="002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69F"/>
    <w:rsid w:val="000B3DA1"/>
    <w:rsid w:val="00231505"/>
    <w:rsid w:val="002F29A4"/>
    <w:rsid w:val="00511C3E"/>
    <w:rsid w:val="0082355A"/>
    <w:rsid w:val="0096269F"/>
    <w:rsid w:val="00BD5A1A"/>
    <w:rsid w:val="00DA0FF6"/>
    <w:rsid w:val="00ED0B14"/>
    <w:rsid w:val="00F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5"/>
  </w:style>
  <w:style w:type="paragraph" w:styleId="1">
    <w:name w:val="heading 1"/>
    <w:basedOn w:val="a"/>
    <w:next w:val="a"/>
    <w:link w:val="10"/>
    <w:qFormat/>
    <w:rsid w:val="009626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269F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269F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6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96269F"/>
    <w:rPr>
      <w:b/>
      <w:bCs/>
      <w:color w:val="106BBE"/>
      <w:sz w:val="26"/>
      <w:szCs w:val="26"/>
    </w:rPr>
  </w:style>
  <w:style w:type="paragraph" w:customStyle="1" w:styleId="a6">
    <w:name w:val="Прижатый влево"/>
    <w:basedOn w:val="a"/>
    <w:next w:val="a"/>
    <w:rsid w:val="00962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96269F"/>
    <w:rPr>
      <w:b/>
      <w:color w:val="000080"/>
    </w:rPr>
  </w:style>
  <w:style w:type="paragraph" w:customStyle="1" w:styleId="a8">
    <w:name w:val="Нормальный (таблица)"/>
    <w:basedOn w:val="a"/>
    <w:next w:val="a"/>
    <w:rsid w:val="009626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harChar">
    <w:name w:val="Char Char"/>
    <w:basedOn w:val="a"/>
    <w:rsid w:val="0096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rsid w:val="0096269F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2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2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6269F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A0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62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20083668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189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7</cp:revision>
  <cp:lastPrinted>2014-02-18T03:41:00Z</cp:lastPrinted>
  <dcterms:created xsi:type="dcterms:W3CDTF">2013-08-22T05:18:00Z</dcterms:created>
  <dcterms:modified xsi:type="dcterms:W3CDTF">2014-04-16T06:07:00Z</dcterms:modified>
</cp:coreProperties>
</file>