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A46600" w:rsidRPr="00A46600" w:rsidTr="001B7356">
        <w:trPr>
          <w:cantSplit/>
        </w:trPr>
        <w:tc>
          <w:tcPr>
            <w:tcW w:w="4320" w:type="dxa"/>
            <w:hideMark/>
          </w:tcPr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A46600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A46600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A46600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A46600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A46600" w:rsidRPr="00A46600" w:rsidRDefault="00A46600" w:rsidP="00A46600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A46600" w:rsidRPr="00A46600" w:rsidRDefault="00A46600" w:rsidP="00A46600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A46600" w:rsidRPr="00A46600" w:rsidRDefault="00A46600" w:rsidP="00A46600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ХАКИМИ</w:t>
            </w:r>
            <w:proofErr w:type="gramStart"/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»Т</w:t>
            </w:r>
            <w:proofErr w:type="gramEnd"/>
            <w:r w:rsidRPr="00A46600">
              <w:rPr>
                <w:rFonts w:ascii="TimBashk" w:eastAsia="Times New Roman" w:hAnsi="TimBashk" w:cs="Times New Roman"/>
                <w:b/>
                <w:bCs/>
                <w:lang w:eastAsia="ar-SA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A46600" w:rsidRPr="00A46600" w:rsidRDefault="00A46600" w:rsidP="00A4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2D2D174" wp14:editId="1CBA40CF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lang w:eastAsia="ar-SA"/>
              </w:rPr>
              <w:t>СЕЛЬСКОГО ПОСЕЛЕНИЯ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A46600" w:rsidRPr="00A46600" w:rsidTr="001B7356">
        <w:trPr>
          <w:cantSplit/>
        </w:trPr>
        <w:tc>
          <w:tcPr>
            <w:tcW w:w="4320" w:type="dxa"/>
            <w:hideMark/>
          </w:tcPr>
          <w:p w:rsidR="00A46600" w:rsidRPr="00A46600" w:rsidRDefault="00A46600" w:rsidP="00A466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A46600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A46600" w:rsidRPr="00A46600" w:rsidRDefault="00A46600" w:rsidP="00A466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A46600" w:rsidRPr="00A46600" w:rsidRDefault="00A46600" w:rsidP="00A46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A466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A46600" w:rsidRPr="00A46600" w:rsidTr="001B7356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600" w:rsidRPr="00A46600" w:rsidRDefault="00A46600" w:rsidP="00A46600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6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A46600" w:rsidRPr="00A46600" w:rsidRDefault="00A46600" w:rsidP="00A46600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 w:rsidRPr="00A4660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FACF" wp14:editId="4A048D5F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" strokeweight="1.59mm">
                <v:stroke joinstyle="miter"/>
              </v:line>
            </w:pict>
          </mc:Fallback>
        </mc:AlternateContent>
      </w:r>
    </w:p>
    <w:p w:rsidR="00A46600" w:rsidRPr="00A46600" w:rsidRDefault="00A46600" w:rsidP="00A46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A46600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A4660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A46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  <w:r w:rsidRPr="00A46600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</w:t>
      </w:r>
    </w:p>
    <w:p w:rsidR="00120E23" w:rsidRDefault="00DB2E07" w:rsidP="00120E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апрель  2015 й.</w:t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1</w:t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12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«10 »  апреля  2015 г.</w:t>
      </w:r>
    </w:p>
    <w:p w:rsidR="00DB2E07" w:rsidRPr="005967F4" w:rsidRDefault="00DB2E07" w:rsidP="00120E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сельского поселения </w:t>
      </w:r>
      <w:r w:rsidR="00FF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Ростовский </w:t>
      </w:r>
      <w:r w:rsidRPr="0059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59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и урегулированию</w:t>
      </w:r>
    </w:p>
    <w:p w:rsidR="00DB2E07" w:rsidRPr="005967F4" w:rsidRDefault="00DB2E07" w:rsidP="00120E2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</w:t>
      </w:r>
    </w:p>
    <w:p w:rsidR="00DB2E07" w:rsidRPr="005967F4" w:rsidRDefault="00DB2E07" w:rsidP="00DB2E0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491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23.06.2014 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№ 821 (в ред. Указа Президента Российской Федерации от 03.12.2013 № 878) «О комиссиях по соблюдению требований к служебному поведению федеральных служащих и урегулированию конфликта интересов», Федеральным законом от 25.12.2008   273-ФЗ «О противодействии коррупции</w:t>
      </w:r>
      <w:proofErr w:type="gramEnd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02.03.2007 № 25-ФЗ «О муниципальной службе в Российской Федерации», руководствуясь Федеральным Законом «Об общих принципах организации местного самоуправления в Российской Федерации», </w:t>
      </w:r>
    </w:p>
    <w:p w:rsidR="00DB2E07" w:rsidRPr="005967F4" w:rsidRDefault="00FF6491" w:rsidP="00120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ПОСТАНОВЛЯЮ: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Arial CYR" w:hAnsi="Times New Roman" w:cs="Arial CYR"/>
          <w:sz w:val="28"/>
          <w:szCs w:val="28"/>
          <w:lang w:eastAsia="ru-RU"/>
        </w:rPr>
        <w:t>1.Утвердить Положение о комиссии по соблюдению требований к служебному поведению муниципальных служащих и урегулирования конфликта интересов (</w:t>
      </w:r>
      <w:proofErr w:type="gramStart"/>
      <w:r w:rsidRPr="005967F4">
        <w:rPr>
          <w:rFonts w:ascii="Times New Roman" w:eastAsia="Arial CYR" w:hAnsi="Times New Roman" w:cs="Arial CYR"/>
          <w:sz w:val="28"/>
          <w:szCs w:val="28"/>
          <w:lang w:eastAsia="ru-RU"/>
        </w:rPr>
        <w:t>согласно приложения</w:t>
      </w:r>
      <w:proofErr w:type="gramEnd"/>
      <w:r w:rsidRPr="005967F4">
        <w:rPr>
          <w:rFonts w:ascii="Times New Roman" w:eastAsia="Arial CYR" w:hAnsi="Times New Roman" w:cs="Arial CYR"/>
          <w:sz w:val="28"/>
          <w:szCs w:val="28"/>
          <w:lang w:eastAsia="ru-RU"/>
        </w:rPr>
        <w:t>).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FF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</w:t>
      </w: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r w:rsidR="00FF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</w:t>
      </w: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E23" w:rsidRDefault="00120E23" w:rsidP="00DB2E07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DB2E07" w:rsidRDefault="00FF6491" w:rsidP="00DB2E07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Arial CYR" w:hAnsi="Times New Roman" w:cs="Arial CYR"/>
          <w:sz w:val="28"/>
          <w:szCs w:val="28"/>
          <w:lang w:eastAsia="ru-RU"/>
        </w:rPr>
        <w:t>Р.Н.Такиуллин</w:t>
      </w:r>
      <w:proofErr w:type="spellEnd"/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к  постановлению Главы </w:t>
      </w:r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B2E07" w:rsidRPr="005967F4" w:rsidRDefault="00795FE9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Ростовский </w:t>
      </w:r>
      <w:r w:rsidR="00DB2E07"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</w:t>
      </w:r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DB2E07" w:rsidRPr="005967F4" w:rsidRDefault="00DB2E07" w:rsidP="00DB2E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DB2E07" w:rsidRPr="005967F4" w:rsidRDefault="00DB2E07" w:rsidP="00DB2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79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9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17 от 10.04.2015 </w:t>
      </w:r>
    </w:p>
    <w:p w:rsidR="00DB2E07" w:rsidRPr="005967F4" w:rsidRDefault="00DB2E07" w:rsidP="00DB2E0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</w:p>
    <w:p w:rsidR="00DB2E07" w:rsidRPr="005967F4" w:rsidRDefault="00DB2E07" w:rsidP="00DB2E0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</w:p>
    <w:p w:rsidR="00DB2E07" w:rsidRPr="005967F4" w:rsidRDefault="00DB2E07" w:rsidP="00DB2E0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  <w:r w:rsidRPr="005967F4">
        <w:rPr>
          <w:rFonts w:ascii="Times New Roman" w:eastAsia="Arial CYR" w:hAnsi="Times New Roman" w:cs="Times New Roman"/>
          <w:b/>
          <w:sz w:val="24"/>
          <w:szCs w:val="24"/>
          <w:lang w:eastAsia="ru-RU"/>
        </w:rPr>
        <w:t>Положение</w:t>
      </w:r>
    </w:p>
    <w:p w:rsidR="00DB2E07" w:rsidRPr="005967F4" w:rsidRDefault="00DB2E07" w:rsidP="00DB2E0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  <w:r w:rsidRPr="005967F4">
        <w:rPr>
          <w:rFonts w:ascii="Times New Roman" w:eastAsia="Arial CYR" w:hAnsi="Times New Roman" w:cs="Times New Roman"/>
          <w:b/>
          <w:sz w:val="24"/>
          <w:szCs w:val="24"/>
          <w:lang w:eastAsia="ru-RU"/>
        </w:rPr>
        <w:t>о комиссиях по соблюдению требований к служебному поведению муниципальных  служащих и урегулированию конфликта интересов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95FE9">
        <w:rPr>
          <w:rFonts w:ascii="Times New Roman" w:eastAsia="Times New Roman" w:hAnsi="Times New Roman" w:cs="Times New Roman"/>
          <w:sz w:val="24"/>
          <w:szCs w:val="24"/>
        </w:rPr>
        <w:t xml:space="preserve">Ростовский </w:t>
      </w:r>
      <w:r w:rsidRPr="005967F4">
        <w:rPr>
          <w:rFonts w:ascii="Times New Roman" w:eastAsia="Times New Roman" w:hAnsi="Times New Roman" w:cs="Times New Roman"/>
          <w:sz w:val="24"/>
          <w:szCs w:val="24"/>
        </w:rPr>
        <w:t>сельсовет  (далее по месту – Комиссия и Администрация, соответственно).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сельского поселения </w:t>
      </w:r>
      <w:r w:rsidR="0079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комиссий является содействие органам местного самоуправления сельского поселения </w:t>
      </w:r>
      <w:r w:rsidR="0079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96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в осуществлении в администрации сельского поселения  мер по предупреждению коррупции.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распоряжением главы администрации Сельского поселения </w:t>
      </w:r>
      <w:r w:rsidR="00A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 Указанным нормативным правовым актом  утверждаются состав комиссии и порядок ее работы.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>7. Глава администрации может принять решение о включении в состав комиссии по согласованию представителей общественных организаций.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 возникновения конфликта интересов, который мог бы повлиять на принимаемые комиссией решения.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>10.  В заседании комиссии с правом совещательного голоса участвуют: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 комиссией  рассматривается 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или его структурном подразделении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б) другие муниципальные служащие, замещающие должности муниципальной службы в муниципальном органе или его структурных подразделениях; специалисты, которые могут  дать пояснения по вопросам муниципальной службы и вопросам, рассматриваемым комиссией;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должностные лица других органов местного самоуправления района, представители заинтересованных организаций,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 требований об урегулировании конфликта интересов - по решению председателя комиссии, принимаемому в каждом конкретном  случае отдельно не менее чем за три дня  до дня заседания комиссии на основании ходатайства муниципального служащего, в отношении которого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образования, недопустимо.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а) представление главой администрации материалов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- сведений о расходах лицами, замещающими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организации проверки представленных сведений;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 - 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б)  поступившие в администрацию муниципального образования в установленном порядке: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- обращение гражданина, замещавшего должность муниципальной службы в органах местного самоуправления и структурных подразделениях, включенную в перечень </w:t>
      </w:r>
      <w:proofErr w:type="spellStart"/>
      <w:r w:rsidRPr="005967F4">
        <w:rPr>
          <w:rFonts w:ascii="Times New Roman" w:eastAsia="Times New Roman" w:hAnsi="Times New Roman" w:cs="Times New Roman"/>
          <w:sz w:val="24"/>
          <w:szCs w:val="24"/>
        </w:rPr>
        <w:t>коррупционно</w:t>
      </w:r>
      <w:proofErr w:type="spellEnd"/>
      <w:r w:rsidRPr="005967F4">
        <w:rPr>
          <w:rFonts w:ascii="Times New Roman" w:eastAsia="Times New Roman" w:hAnsi="Times New Roman" w:cs="Times New Roman"/>
          <w:sz w:val="24"/>
          <w:szCs w:val="24"/>
        </w:rPr>
        <w:t>-опасных должностей, установленный нормативными правовыми актами, 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в) представление руководителя 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г) поступившее в адрес комиссии предложение лица, принявшего решение об осуществлении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расходами муниципального служащего, рассмотреть результаты, полученные в ходе осуществления контроля за расходами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д) поступившее в соответствии с частью 4 статьи 12 Федерального закона от 25 декабря 2008 года № 273–ФЗ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 органа по профилактике коррупционных и иных правонарушений.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96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"д"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службы в муниципальном органе,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96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коррупции".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и иных правонарушений, и с результатами ее проверки;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Заседание комиссии по рассмотрению заявления, указанного в абзаце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 органе местного самоуправления.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96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1065, являются достоверными и полными;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25.1.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вопросов, указанных в подпунктах "а", "б" и "г" пункта 13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    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96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органа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дата заседания комиссии, фамилии, имена, отчества членов комиссии и других лиц, присутствующих на заседании;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предъявляемые к государственному служащему претензии, материалы, на которых они основываются;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содержание пояснений государственного служащего и других лиц по существу предъявляемых претензий;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д) фамилии, имена, отчества выступивших на заседании лиц и краткое изложение их выступлений;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ж) другие сведения;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з) результаты голосования;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и) решение и обоснование его принятия.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Глава администрации муниципального образования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</w:t>
      </w:r>
      <w:proofErr w:type="gramStart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</w:t>
      </w: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обращении адресу не позднее одного рабочего дня, следующего за днем проведения соответствующего</w:t>
      </w:r>
      <w:proofErr w:type="gramEnd"/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F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администрации, ответственным за работу по профилактике коррупционных и иных правонарушений.</w:t>
      </w: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07" w:rsidRPr="005967F4" w:rsidRDefault="00DB2E07" w:rsidP="00D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07" w:rsidRPr="005967F4" w:rsidRDefault="00DB2E07" w:rsidP="00DB2E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07" w:rsidRDefault="00DB2E07" w:rsidP="00DB2E07"/>
    <w:p w:rsidR="00257B2D" w:rsidRDefault="00257B2D"/>
    <w:sectPr w:rsidR="002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9"/>
    <w:rsid w:val="00120E23"/>
    <w:rsid w:val="00257B2D"/>
    <w:rsid w:val="00776111"/>
    <w:rsid w:val="00795FE9"/>
    <w:rsid w:val="00A46600"/>
    <w:rsid w:val="00DB2E07"/>
    <w:rsid w:val="00E95AF9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</cp:revision>
  <dcterms:created xsi:type="dcterms:W3CDTF">2015-04-21T10:52:00Z</dcterms:created>
  <dcterms:modified xsi:type="dcterms:W3CDTF">2015-04-21T11:03:00Z</dcterms:modified>
</cp:coreProperties>
</file>