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1717"/>
        <w:gridCol w:w="4320"/>
      </w:tblGrid>
      <w:tr w:rsidR="003F3073" w:rsidRPr="003F3073" w:rsidTr="00DB7C55">
        <w:trPr>
          <w:cantSplit/>
        </w:trPr>
        <w:tc>
          <w:tcPr>
            <w:tcW w:w="4320" w:type="dxa"/>
            <w:shd w:val="clear" w:color="auto" w:fill="auto"/>
          </w:tcPr>
          <w:p w:rsidR="003F3073" w:rsidRPr="003F3073" w:rsidRDefault="003F3073" w:rsidP="003F3073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3F3073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</w:t>
            </w:r>
            <w:proofErr w:type="gramStart"/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t>Ы</w:t>
            </w:r>
            <w:proofErr w:type="gramEnd"/>
          </w:p>
          <w:p w:rsidR="003F3073" w:rsidRPr="003F3073" w:rsidRDefault="003F3073" w:rsidP="003F3073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3F3073">
              <w:rPr>
                <w:rFonts w:ascii="TimBashk" w:eastAsia="Times New Roman" w:hAnsi="TimBashk" w:cs="Times New Roman"/>
                <w:b/>
                <w:lang w:eastAsia="ar-SA"/>
              </w:rPr>
              <w:t>М</w:t>
            </w:r>
            <w:proofErr w:type="gramStart"/>
            <w:r w:rsidRPr="003F3073">
              <w:rPr>
                <w:rFonts w:ascii="TimBashk" w:eastAsia="Times New Roman" w:hAnsi="TimBashk" w:cs="Times New Roman"/>
                <w:b/>
                <w:lang w:eastAsia="ar-SA"/>
              </w:rPr>
              <w:t>»С</w:t>
            </w:r>
            <w:proofErr w:type="gramEnd"/>
            <w:r w:rsidRPr="003F3073">
              <w:rPr>
                <w:rFonts w:ascii="TimBashk" w:eastAsia="Times New Roman" w:hAnsi="TimBashk" w:cs="Times New Roman"/>
                <w:b/>
                <w:lang w:eastAsia="ar-SA"/>
              </w:rPr>
              <w:t>ЕТЛЕ РАЙОНЫ</w:t>
            </w:r>
          </w:p>
          <w:p w:rsidR="003F3073" w:rsidRPr="003F3073" w:rsidRDefault="003F3073" w:rsidP="003F307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3F3073" w:rsidRPr="003F3073" w:rsidRDefault="003F3073" w:rsidP="003F307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</w:t>
            </w:r>
            <w:proofErr w:type="gramStart"/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t>Л»</w:t>
            </w:r>
            <w:proofErr w:type="gramEnd"/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М»3</w:t>
            </w:r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0045"/>
            </w:r>
          </w:p>
          <w:p w:rsidR="003F3073" w:rsidRPr="003F3073" w:rsidRDefault="003F3073" w:rsidP="003F307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3F3073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F3073" w:rsidRPr="003F3073" w:rsidRDefault="003F3073" w:rsidP="003F30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3F3073" w:rsidRPr="003F3073" w:rsidRDefault="003F3073" w:rsidP="003F3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3F3073" w:rsidRPr="003F3073" w:rsidRDefault="003F3073" w:rsidP="003F3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3F3073" w:rsidRPr="003F3073" w:rsidRDefault="003F3073" w:rsidP="003F3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3F3073" w:rsidRPr="003F3073" w:rsidRDefault="003F3073" w:rsidP="003F3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3F3073" w:rsidRPr="003F3073" w:rsidRDefault="003F3073" w:rsidP="003F3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3F3073" w:rsidRPr="003F3073" w:rsidTr="00DB7C55">
        <w:trPr>
          <w:cantSplit/>
        </w:trPr>
        <w:tc>
          <w:tcPr>
            <w:tcW w:w="4320" w:type="dxa"/>
            <w:shd w:val="clear" w:color="auto" w:fill="auto"/>
          </w:tcPr>
          <w:p w:rsidR="003F3073" w:rsidRPr="003F3073" w:rsidRDefault="003F3073" w:rsidP="003F3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3F3073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3F3073" w:rsidRPr="003F3073" w:rsidRDefault="003F3073" w:rsidP="003F3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3F3073" w:rsidRPr="003F3073" w:rsidRDefault="003F3073" w:rsidP="003F3073">
            <w:pPr>
              <w:suppressAutoHyphens/>
              <w:snapToGrid w:val="0"/>
              <w:spacing w:after="0" w:line="240" w:lineRule="auto"/>
              <w:rPr>
                <w:rFonts w:ascii="Bash" w:eastAsia="Times New Roman" w:hAnsi="Bash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3F3073" w:rsidRPr="003F3073" w:rsidRDefault="003F3073" w:rsidP="003F3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3F3073" w:rsidRPr="003F3073" w:rsidRDefault="003F3073" w:rsidP="003F3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3F3073" w:rsidRPr="003F3073" w:rsidRDefault="0080356A" w:rsidP="003F30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3F3073" w:rsidRPr="003F3073" w:rsidRDefault="003F3073" w:rsidP="003F3073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DagY23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3F3073" w:rsidRPr="003F3073" w:rsidRDefault="003F3073" w:rsidP="003F30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Bashk" w:eastAsia="Times New Roman" w:hAnsi="TimBashk" w:cs="Times New Roman"/>
          <w:b/>
          <w:sz w:val="24"/>
          <w:szCs w:val="24"/>
          <w:lang w:eastAsia="ru-RU"/>
        </w:rPr>
        <w:t>?</w:t>
      </w:r>
      <w:r w:rsidRPr="003F3073">
        <w:rPr>
          <w:rFonts w:ascii="TimBashk" w:eastAsia="Times New Roman" w:hAnsi="TimBashk" w:cs="Times New Roman"/>
          <w:b/>
          <w:sz w:val="24"/>
          <w:szCs w:val="24"/>
          <w:lang w:eastAsia="ru-RU"/>
        </w:rPr>
        <w:t>АРАР</w:t>
      </w:r>
      <w:r w:rsidRPr="003F3073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3F3073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3F3073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3F3073">
        <w:rPr>
          <w:rFonts w:ascii="Bash" w:eastAsia="Times New Roman" w:hAnsi="Bash" w:cs="Times New Roman"/>
          <w:b/>
          <w:sz w:val="24"/>
          <w:szCs w:val="24"/>
          <w:lang w:eastAsia="ru-RU"/>
        </w:rPr>
        <w:tab/>
        <w:t xml:space="preserve">       </w:t>
      </w:r>
      <w:r w:rsidRPr="003F3073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3F3073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3F3073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3F3073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3F307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</w:t>
      </w:r>
    </w:p>
    <w:p w:rsidR="003F3073" w:rsidRPr="003F3073" w:rsidRDefault="003F3073" w:rsidP="003F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073" w:rsidRPr="003F3073" w:rsidRDefault="003F3073" w:rsidP="003F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2014 года </w:t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 </w:t>
      </w:r>
      <w:r w:rsidR="003D5EF6">
        <w:rPr>
          <w:rFonts w:ascii="Times New Roman" w:eastAsia="Times New Roman" w:hAnsi="Times New Roman" w:cs="Times New Roman"/>
          <w:sz w:val="28"/>
          <w:szCs w:val="24"/>
          <w:lang w:eastAsia="ru-RU"/>
        </w:rPr>
        <w:t>74</w:t>
      </w:r>
    </w:p>
    <w:p w:rsidR="003F3073" w:rsidRPr="003F3073" w:rsidRDefault="003F3073" w:rsidP="003F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073" w:rsidRPr="003F3073" w:rsidRDefault="003F3073" w:rsidP="003F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осуществления </w:t>
      </w:r>
      <w:proofErr w:type="gramStart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части полномочий органов местного самоуправления сельского поселения</w:t>
      </w:r>
      <w:proofErr w:type="gramEnd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:rsidR="003F3073" w:rsidRPr="003F3073" w:rsidRDefault="003F3073" w:rsidP="003F307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3F3073" w:rsidRPr="003F3073" w:rsidRDefault="003F3073" w:rsidP="003F30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</w:t>
      </w:r>
      <w:r w:rsidRPr="003F30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06.10.2003 года № 131 – ФЗ 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Совет </w:t>
      </w:r>
      <w:r w:rsidR="003D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Ростовский сельсовет 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F3073" w:rsidRPr="003F3073" w:rsidRDefault="003F3073" w:rsidP="003F30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сельского поселения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3F3073" w:rsidRPr="003F3073" w:rsidRDefault="003F3073" w:rsidP="003F307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D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Р.Н.Такиуллин</w:t>
      </w:r>
      <w:proofErr w:type="spellEnd"/>
    </w:p>
    <w:p w:rsidR="003F3073" w:rsidRPr="003F3073" w:rsidRDefault="003D5EF6" w:rsidP="003F3073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еляшево</w:t>
      </w:r>
      <w:proofErr w:type="spellEnd"/>
    </w:p>
    <w:p w:rsidR="003F3073" w:rsidRPr="003F3073" w:rsidRDefault="003F3073" w:rsidP="003F3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3073" w:rsidRPr="003F3073" w:rsidRDefault="003F3073" w:rsidP="003F3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</w:t>
      </w:r>
    </w:p>
    <w:p w:rsidR="00222D53" w:rsidRDefault="00222D5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22D53" w:rsidRPr="003F3073" w:rsidRDefault="00222D5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Ростовский сельсовет</w:t>
      </w: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22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2014 года № </w:t>
      </w:r>
      <w:r w:rsidR="0022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073" w:rsidRPr="003F3073" w:rsidRDefault="003F3073" w:rsidP="003F3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между органами местного самоуправления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сельского поселения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 Башкортостан осуществления </w:t>
      </w:r>
      <w:proofErr w:type="gramStart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полномочий органов местного самоуправления сельского поселения</w:t>
      </w:r>
      <w:proofErr w:type="gramEnd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3F3073" w:rsidRPr="003F3073" w:rsidRDefault="003F3073" w:rsidP="003F3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3F3073" w:rsidRPr="003F3073" w:rsidRDefault="003F3073" w:rsidP="003F3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3073" w:rsidRPr="003F3073" w:rsidRDefault="00222D53" w:rsidP="00222D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еляшево</w:t>
      </w:r>
      <w:proofErr w:type="spellEnd"/>
      <w:r w:rsidR="003F3073" w:rsidRPr="003F30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F3073" w:rsidRPr="003F30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F3073" w:rsidRPr="003F30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F3073" w:rsidRPr="003F30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F3073" w:rsidRPr="003F30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</w:t>
      </w:r>
      <w:r w:rsidR="003F3073" w:rsidRPr="003F3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3F3073" w:rsidRPr="003F3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декабря 2014 года</w:t>
      </w:r>
    </w:p>
    <w:p w:rsidR="003F3073" w:rsidRPr="003F3073" w:rsidRDefault="003F3073" w:rsidP="003F3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Поселение, в лице исполняющего обязанности председателя Совета поселения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Такиуллина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Нурулловича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Юриса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Хайдаровича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Соглашения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Соглашением Поселение передает  Району следующие полномочия:</w:t>
      </w:r>
    </w:p>
    <w:p w:rsidR="003F3073" w:rsidRPr="003F3073" w:rsidRDefault="003F3073" w:rsidP="003F30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техногенного характера;</w:t>
      </w:r>
    </w:p>
    <w:p w:rsidR="003F3073" w:rsidRPr="003F3073" w:rsidRDefault="003F3073" w:rsidP="003F30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0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3)</w:t>
      </w:r>
      <w:r w:rsidRPr="003F307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F3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 w:rsidRPr="003F3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Сторон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Поселение обязуется: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Отражать в бюджете сельского поселения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реализации настоящего соглашения Поселение вправе: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Требовать возврата предоставленных финансовых сре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В целях реализации настоящего соглашения Район  обязуется: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Ростовский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целях реализации настоящего соглашения Район  вправе: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Запрашивать у Поселения информацию, необходимую для реализации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 с момента последнего перечисления.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с момента последнего перечисления прекратить исполнение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осуществления переданных полномочий.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контроля за осуществлением переданных полномочий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 </w:t>
      </w:r>
      <w:proofErr w:type="gramStart"/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«Муниципальным районом»</w:t>
      </w:r>
      <w:r w:rsidRPr="003F3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полномочий,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предоставления финансовых средств 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переданных полномочий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полномочии.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Ростовский 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 поселения Ростовский  сельсовет муниципального района </w:t>
      </w:r>
      <w:proofErr w:type="spell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и порядок прекращения Соглашения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Настоящее соглашение подлежит утверждению Советом «Муниципального района» и Советом «Поселения».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Соглашение заключено сроком на 1 (один) год и вступает с «01» января 2015 года.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Настоящее Соглашение может быть досрочно прекращено: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По соглашению Сторон;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 одностороннем порядке без обращения в суд: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пунктом 4.4.  настоящего Соглашения.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Уведомление о расторжении настоящего Соглашения в </w:t>
      </w: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пунктом 4.3. настоящего Соглашения;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3F3073" w:rsidRPr="003F3073" w:rsidRDefault="003F3073" w:rsidP="003F3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разрешения споров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разногласия между Сторонами разрешаются путем переговоров.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F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условия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7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составлено в двух экземплярах по одному для каждой из Сторон, которые имеют равную юридическую силу.</w:t>
      </w: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73" w:rsidRPr="003F3073" w:rsidRDefault="003F3073" w:rsidP="003F3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073" w:rsidRPr="003F3073" w:rsidTr="00DB7C55">
        <w:tc>
          <w:tcPr>
            <w:tcW w:w="4785" w:type="dxa"/>
          </w:tcPr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Совет сельского поселения Ростовский сельсовет муниципального района </w:t>
            </w: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 xml:space="preserve">452561, Республика Башкортостан, </w:t>
            </w:r>
            <w:proofErr w:type="spellStart"/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>Мечетлинский</w:t>
            </w:r>
            <w:proofErr w:type="spellEnd"/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 xml:space="preserve"> район,</w:t>
            </w:r>
          </w:p>
          <w:p w:rsidR="003F3073" w:rsidRPr="003F3073" w:rsidRDefault="003F3073" w:rsidP="003F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F3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Теляшево</w:t>
            </w:r>
            <w:proofErr w:type="spellEnd"/>
            <w:r w:rsidRPr="003F3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:rsidR="003F3073" w:rsidRPr="003F3073" w:rsidRDefault="003F3073" w:rsidP="003F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Советская, 83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Председателя Совета 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Ростовский сельсовет </w:t>
            </w:r>
            <w:proofErr w:type="gram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/ Р.Н. </w:t>
            </w: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Такиуллин</w:t>
            </w:r>
            <w:proofErr w:type="spellEnd"/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Совет 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 xml:space="preserve">452550, Республика Башкортостан, </w:t>
            </w:r>
            <w:proofErr w:type="spellStart"/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>Мечетлинский</w:t>
            </w:r>
            <w:proofErr w:type="spellEnd"/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 xml:space="preserve"> район</w:t>
            </w:r>
          </w:p>
          <w:p w:rsidR="003F3073" w:rsidRPr="003F3073" w:rsidRDefault="003F3073" w:rsidP="003F3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 xml:space="preserve">с. Большеустьикинское, 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b/>
                <w:iCs/>
                <w:sz w:val="28"/>
                <w:lang w:eastAsia="ru-RU"/>
              </w:rPr>
              <w:t>ул. Ленина, 20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муниципального района </w:t>
            </w: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307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/Ю.Х. </w:t>
            </w: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Латыпов</w:t>
            </w:r>
            <w:proofErr w:type="spellEnd"/>
          </w:p>
          <w:p w:rsidR="003F3073" w:rsidRPr="003F3073" w:rsidRDefault="003F3073" w:rsidP="003F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F30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F3073" w:rsidRPr="003F3073" w:rsidRDefault="003F3073" w:rsidP="003F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10" w:rsidRDefault="00BB2410"/>
    <w:sectPr w:rsidR="00BB2410" w:rsidSect="00D6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5148"/>
    <w:multiLevelType w:val="hybridMultilevel"/>
    <w:tmpl w:val="DAC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C9"/>
    <w:rsid w:val="000B4DC9"/>
    <w:rsid w:val="00222D53"/>
    <w:rsid w:val="003B0FFE"/>
    <w:rsid w:val="003D5EF6"/>
    <w:rsid w:val="003F3073"/>
    <w:rsid w:val="0080356A"/>
    <w:rsid w:val="00B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DDF648ED3E26F26DC00DD2681D63768EFF9A392B8CDFE559990411BoFR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6DDF648ED3E26F26DC00DD2681D63768EFF9A392B8CDFE559990411BF99668AF33069980oAR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4</cp:revision>
  <dcterms:created xsi:type="dcterms:W3CDTF">2014-12-09T07:20:00Z</dcterms:created>
  <dcterms:modified xsi:type="dcterms:W3CDTF">2015-02-24T03:37:00Z</dcterms:modified>
</cp:coreProperties>
</file>