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23" w:rsidRDefault="00197C23" w:rsidP="00197C23">
      <w:pPr>
        <w:shd w:val="clear" w:color="auto" w:fill="FFFFFF"/>
        <w:spacing w:after="75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Прокуратура разъясняет</w:t>
      </w:r>
    </w:p>
    <w:bookmarkEnd w:id="0"/>
    <w:p w:rsidR="00197C23" w:rsidRDefault="00197C23" w:rsidP="003B36A2">
      <w:pPr>
        <w:shd w:val="clear" w:color="auto" w:fill="FFFFFF"/>
        <w:spacing w:after="75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197C23" w:rsidRDefault="00197C23" w:rsidP="003B36A2">
      <w:pPr>
        <w:shd w:val="clear" w:color="auto" w:fill="FFFFFF"/>
        <w:spacing w:after="75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</w:p>
    <w:p w:rsidR="003B36A2" w:rsidRPr="003B36A2" w:rsidRDefault="003B36A2" w:rsidP="003B36A2">
      <w:pPr>
        <w:shd w:val="clear" w:color="auto" w:fill="FFFFFF"/>
        <w:spacing w:after="75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B36A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Общие положения </w:t>
      </w:r>
      <w:proofErr w:type="gramStart"/>
      <w:r w:rsidRPr="003B36A2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наследовании</w:t>
      </w:r>
      <w:proofErr w:type="gramEnd"/>
    </w:p>
    <w:p w:rsidR="003B36A2" w:rsidRPr="003B36A2" w:rsidRDefault="003B36A2" w:rsidP="003B3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соответствии со ст. ст. 1110-1117 Гражданского кодекса РФ при наследовании имущество умершего (наследство, наследственное имущество) переходит к другим лицам в порядке универсального правопреемства, то есть в неизменном виде как единое целое и в один и тот же момент, если из правил настоящего Кодекса не следует иное. Наследование регулируется настоящим Кодексом и другими законами, а в случаях, предусмотренных законом, иными правовыми актами.</w:t>
      </w:r>
    </w:p>
    <w:p w:rsidR="003B36A2" w:rsidRPr="003B36A2" w:rsidRDefault="003B36A2" w:rsidP="003B3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Наследование осуществляется по завещанию и по закону.</w:t>
      </w:r>
    </w:p>
    <w:p w:rsidR="003B36A2" w:rsidRPr="003B36A2" w:rsidRDefault="003B36A2" w:rsidP="003B3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Наследование по закону имеет место, когда и поскольку оно не изменено завещанием, а также в иных случаях, установленных настоящим Кодексом.</w:t>
      </w:r>
    </w:p>
    <w:p w:rsidR="003B36A2" w:rsidRPr="003B36A2" w:rsidRDefault="003B36A2" w:rsidP="003B3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состав наследства входят принадлежавшие наследодателю на день открытия наследства вещи, иное имущество, в том числе имущественные права и обязанности.</w:t>
      </w:r>
    </w:p>
    <w:p w:rsidR="003B36A2" w:rsidRPr="003B36A2" w:rsidRDefault="003B36A2" w:rsidP="003B3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 входят в состав наследства права и обязанности, неразрывно связанные с личностью наследодателя, в частности право на алименты, право на возмещение вреда, причиненного жизни или здоровью гражданина, а также права и обязанности, переход которых в порядке наследования не допускается настоящим Кодексом или другими законами.</w:t>
      </w:r>
    </w:p>
    <w:p w:rsidR="003B36A2" w:rsidRPr="003B36A2" w:rsidRDefault="003B36A2" w:rsidP="003B3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 входят в состав наследства личные неимущественные права и другие нематериальные блага.</w:t>
      </w:r>
    </w:p>
    <w:p w:rsidR="003B36A2" w:rsidRPr="003B36A2" w:rsidRDefault="003B36A2" w:rsidP="003B3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Наследство открывается со смертью гражданина. Объявление судом гражданина умершим влечет за собой те же правовые последствия, что и смерть гражданина.</w:t>
      </w:r>
    </w:p>
    <w:p w:rsidR="003B36A2" w:rsidRPr="003B36A2" w:rsidRDefault="003B36A2" w:rsidP="003B3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Днем открытия наследства является день смерти гражданина. При объявлении гражданина умершим днем открытия наследства является день вступления в законную силу решения суда об объявлении гражданина умершим, а в случае, когда в соответствии с пунктом 3 статьи 45 настоящего Кодекса днем смерти гражданина признан день его предполагаемой гибели, - день смерти, указанный в решении суда.</w:t>
      </w:r>
    </w:p>
    <w:p w:rsidR="003B36A2" w:rsidRPr="003B36A2" w:rsidRDefault="003B36A2" w:rsidP="003B3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Граждане, умершие в один и тот же день, считаются в целях наследственного правопреемства умершими одновременно и не наследуют друг после друга. При этом к наследованию призываются наследники каждого из них.</w:t>
      </w:r>
    </w:p>
    <w:p w:rsidR="003B36A2" w:rsidRPr="003B36A2" w:rsidRDefault="003B36A2" w:rsidP="003B3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Местом открытия наследства является последнее место жительства наследодателя (статья 20).</w:t>
      </w:r>
    </w:p>
    <w:p w:rsidR="003B36A2" w:rsidRPr="003B36A2" w:rsidRDefault="003B36A2" w:rsidP="003B3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Если последнее место жительства наследодателя, обладавшего имуществом на территории Российской Федерации, неизвестно или находится за ее пределами, местом открытия наследства в Российской Федерации признается место нахождения такого наследственного имущества. Если такое наследственное имущество находится в разных местах, местом открытия наследства является место нахождения входящих в его состав недвижимого имущества или наиболее ценной части недвижимого имущества, а при отсутствии недвижимого имущества - место нахождения движимого имущества или его наиболее ценной части. Ценность имущества определяется исходя из его рыночной стоимости.</w:t>
      </w:r>
    </w:p>
    <w:p w:rsidR="003B36A2" w:rsidRPr="003B36A2" w:rsidRDefault="003B36A2" w:rsidP="003B3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 наследованию могут призываться граждане, находящиеся в живых в день открытия наследства, а также зачатые при жизни наследодателя и родившиеся живыми после открытия наследства.</w:t>
      </w:r>
    </w:p>
    <w:p w:rsidR="003B36A2" w:rsidRPr="003B36A2" w:rsidRDefault="003B36A2" w:rsidP="003B3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 наследованию по завещанию могут призываться также указанные в нем юридические лица, существующие на день открытия наследства.</w:t>
      </w:r>
    </w:p>
    <w:p w:rsidR="003B36A2" w:rsidRPr="003B36A2" w:rsidRDefault="003B36A2" w:rsidP="003B3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 наследованию по завещанию могут призываться Российская Федерация, субъекты Российской Федерации, муниципальные образования, иностранные государства и международные организации, а к наследованию по закону - Российская Федерация, субъекты Российской Федерации, муниципальные образования в соответствии со статьей 1151 настоящего Кодекса.</w:t>
      </w:r>
    </w:p>
    <w:p w:rsidR="003B36A2" w:rsidRPr="003B36A2" w:rsidRDefault="003B36A2" w:rsidP="003B3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gramStart"/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lastRenderedPageBreak/>
        <w:t>Не наследуют ни по закону, ни по завещанию граждане, которые своими умышленными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способствовали либо пытались способствовать призванию их самих или других лиц к наследованию либо способствовали или пытались способствовать увеличению причитающейся им или другим лицам доли наследства, если эти обстоятельства подтверждены в</w:t>
      </w:r>
      <w:proofErr w:type="gramEnd"/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судебном </w:t>
      </w:r>
      <w:proofErr w:type="gramStart"/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порядке</w:t>
      </w:r>
      <w:proofErr w:type="gramEnd"/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. Однако граждане, которым наследодатель после утраты ими права наследования завещал имущество, вправе наследовать это имущество.</w:t>
      </w:r>
    </w:p>
    <w:p w:rsidR="003B36A2" w:rsidRPr="003B36A2" w:rsidRDefault="003B36A2" w:rsidP="003B3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Не наследуют по закону родители после детей, в отношении которых родители были в судебном порядке лишены родительских прав и не восстановлены в этих правах ко дню открытия наследства.</w:t>
      </w:r>
    </w:p>
    <w:p w:rsidR="003B36A2" w:rsidRPr="003B36A2" w:rsidRDefault="003B36A2" w:rsidP="003B3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По требованию заинтересованного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:rsidR="003B36A2" w:rsidRPr="003B36A2" w:rsidRDefault="003B36A2" w:rsidP="003B3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Лицо, не имеющее права наследовать или отстраненное от наследования на основании настоящей статьи (недостойный наследник), обязано возвратить в соответствии с правилами главы 60 настоящего Кодекса все имущество, неосновательно полученное им из состава наследства.</w:t>
      </w:r>
    </w:p>
    <w:p w:rsidR="003B36A2" w:rsidRPr="003B36A2" w:rsidRDefault="003B36A2" w:rsidP="003B3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Правила настоящей статьи распространяются на наследников, имеющих право на обязательную долю в наследстве.</w:t>
      </w:r>
    </w:p>
    <w:p w:rsidR="003B36A2" w:rsidRPr="003B36A2" w:rsidRDefault="003B36A2" w:rsidP="003B36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Правила настоящей статьи соответственно применяются к завещательному отказу (статья 1137). В случае, когда предметом завещательного отказа было выполнение определенной работы для недостойного </w:t>
      </w:r>
      <w:proofErr w:type="spellStart"/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отказополучателя</w:t>
      </w:r>
      <w:proofErr w:type="spellEnd"/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или оказание ему определенной услуги, последний обязан возместить наследнику, исполнившему завещательный отказ, стоимость выполненной для недостойного </w:t>
      </w:r>
      <w:proofErr w:type="spellStart"/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отказополучателя</w:t>
      </w:r>
      <w:proofErr w:type="spellEnd"/>
      <w:r w:rsidRPr="003B36A2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работы или оказанной ему услуги.</w:t>
      </w:r>
    </w:p>
    <w:p w:rsidR="007A75F1" w:rsidRDefault="00197C23" w:rsidP="003B36A2">
      <w:pPr>
        <w:ind w:firstLine="567"/>
        <w:rPr>
          <w:rFonts w:ascii="Times New Roman" w:hAnsi="Times New Roman" w:cs="Times New Roman"/>
          <w:sz w:val="28"/>
        </w:rPr>
      </w:pPr>
    </w:p>
    <w:p w:rsidR="00197C23" w:rsidRDefault="00197C23" w:rsidP="00197C23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Помощник прокурора </w:t>
      </w:r>
    </w:p>
    <w:p w:rsidR="00197C23" w:rsidRDefault="00197C23" w:rsidP="00197C23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Мечетлинского района</w:t>
      </w:r>
    </w:p>
    <w:p w:rsidR="00197C23" w:rsidRDefault="00197C23" w:rsidP="00197C23">
      <w:pPr>
        <w:pStyle w:val="a5"/>
        <w:rPr>
          <w:rFonts w:ascii="Times New Roman" w:hAnsi="Times New Roman" w:cs="Times New Roman"/>
          <w:sz w:val="24"/>
        </w:rPr>
      </w:pPr>
    </w:p>
    <w:p w:rsidR="00197C23" w:rsidRDefault="00197C23" w:rsidP="00197C23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юрист 3 класса                                                                                                                     Р.Т. Аскаров</w:t>
      </w:r>
    </w:p>
    <w:p w:rsidR="00197C23" w:rsidRDefault="00197C23" w:rsidP="00197C23">
      <w:pPr>
        <w:ind w:firstLine="567"/>
        <w:jc w:val="both"/>
        <w:rPr>
          <w:rFonts w:ascii="Times New Roman" w:hAnsi="Times New Roman" w:cs="Times New Roman"/>
          <w:sz w:val="56"/>
        </w:rPr>
      </w:pPr>
    </w:p>
    <w:p w:rsidR="00197C23" w:rsidRPr="003B36A2" w:rsidRDefault="00197C23" w:rsidP="00197C23">
      <w:pPr>
        <w:rPr>
          <w:rFonts w:ascii="Times New Roman" w:hAnsi="Times New Roman" w:cs="Times New Roman"/>
          <w:sz w:val="28"/>
        </w:rPr>
      </w:pPr>
    </w:p>
    <w:sectPr w:rsidR="00197C23" w:rsidRPr="003B36A2" w:rsidSect="003B36A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A2"/>
    <w:rsid w:val="001206FD"/>
    <w:rsid w:val="00197C23"/>
    <w:rsid w:val="003B36A2"/>
    <w:rsid w:val="00B0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paragraph" w:styleId="a5">
    <w:name w:val="No Spacing"/>
    <w:uiPriority w:val="1"/>
    <w:qFormat/>
    <w:rsid w:val="00197C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6A2"/>
    <w:rPr>
      <w:b/>
      <w:bCs/>
    </w:rPr>
  </w:style>
  <w:style w:type="paragraph" w:styleId="a5">
    <w:name w:val="No Spacing"/>
    <w:uiPriority w:val="1"/>
    <w:qFormat/>
    <w:rsid w:val="00197C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2015-01-07T07:03:00Z</dcterms:created>
  <dcterms:modified xsi:type="dcterms:W3CDTF">2015-01-07T12:20:00Z</dcterms:modified>
</cp:coreProperties>
</file>