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7" w:type="dxa"/>
        <w:tblInd w:w="-1051" w:type="dxa"/>
        <w:tblLook w:val="01E0" w:firstRow="1" w:lastRow="1" w:firstColumn="1" w:lastColumn="1" w:noHBand="0" w:noVBand="0"/>
      </w:tblPr>
      <w:tblGrid>
        <w:gridCol w:w="2010"/>
        <w:gridCol w:w="3449"/>
        <w:gridCol w:w="1800"/>
        <w:gridCol w:w="4320"/>
        <w:gridCol w:w="2108"/>
      </w:tblGrid>
      <w:tr w:rsidR="00AE6296" w:rsidRPr="00AE6296" w:rsidTr="00C37264">
        <w:trPr>
          <w:gridAfter w:val="1"/>
          <w:wAfter w:w="2108" w:type="dxa"/>
          <w:cantSplit/>
          <w:trHeight w:val="1796"/>
        </w:trPr>
        <w:tc>
          <w:tcPr>
            <w:tcW w:w="5459" w:type="dxa"/>
            <w:gridSpan w:val="2"/>
          </w:tcPr>
          <w:p w:rsidR="00AE6296" w:rsidRPr="00AE6296" w:rsidRDefault="00C37264" w:rsidP="00AE629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AE6296"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="00AE6296"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РЕСПУБЛИКА№Ы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РОСТОВ АУЫЛ СОВЕТЫ</w:t>
            </w:r>
          </w:p>
          <w:p w:rsidR="00AE6296" w:rsidRPr="00AE6296" w:rsidRDefault="00C37264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F2406" wp14:editId="47F5DDF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478790</wp:posOffset>
                      </wp:positionV>
                      <wp:extent cx="6629400" cy="0"/>
                      <wp:effectExtent l="34290" t="32385" r="3238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0E6F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37.7pt" to="562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LnCrk4AAAAAk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AE6296"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БИЛ»М»№Е СОВЕТЫ</w:t>
            </w:r>
          </w:p>
        </w:tc>
        <w:tc>
          <w:tcPr>
            <w:tcW w:w="1800" w:type="dxa"/>
          </w:tcPr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0DA85F" wp14:editId="77010AA4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РОСТОВСКИЙ СЕЛЬСОВЕТ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E6296" w:rsidRPr="00AE6296" w:rsidRDefault="00AE6296" w:rsidP="00A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85C" w:rsidRPr="0048685C" w:rsidTr="00C37264">
        <w:trPr>
          <w:gridBefore w:val="1"/>
          <w:wBefore w:w="2010" w:type="dxa"/>
          <w:cantSplit/>
        </w:trPr>
        <w:tc>
          <w:tcPr>
            <w:tcW w:w="11677" w:type="dxa"/>
            <w:gridSpan w:val="4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  <w:r>
              <w:t xml:space="preserve">        </w:t>
            </w: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0545"/>
              <w:gridCol w:w="236"/>
              <w:gridCol w:w="236"/>
            </w:tblGrid>
            <w:tr w:rsidR="0048685C" w:rsidRPr="0048685C" w:rsidTr="006E7282">
              <w:trPr>
                <w:cantSplit/>
                <w:hidden/>
              </w:trPr>
              <w:tc>
                <w:tcPr>
                  <w:tcW w:w="10545" w:type="dxa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>?АРАР</w:t>
                  </w:r>
                  <w:proofErr w:type="gramEnd"/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  <w:t xml:space="preserve">           </w:t>
                  </w:r>
                  <w:r w:rsidR="00C3726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AE62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РЕШЕНИЕ</w:t>
                  </w:r>
                </w:p>
                <w:p w:rsidR="00C37264" w:rsidRDefault="00C37264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85C" w:rsidRPr="0048685C" w:rsidRDefault="00C37264" w:rsidP="004868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йыл</w:t>
                  </w:r>
                  <w:proofErr w:type="spellEnd"/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68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36" w:type="dxa"/>
                  <w:vAlign w:val="center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85C" w:rsidRPr="0048685C" w:rsidRDefault="0048685C" w:rsidP="00486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85C" w:rsidRPr="0048685C" w:rsidRDefault="0048685C" w:rsidP="004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85C" w:rsidRPr="0048685C" w:rsidTr="00C37264">
        <w:trPr>
          <w:gridBefore w:val="1"/>
          <w:wBefore w:w="2010" w:type="dxa"/>
          <w:cantSplit/>
          <w:hidden/>
        </w:trPr>
        <w:tc>
          <w:tcPr>
            <w:tcW w:w="11677" w:type="dxa"/>
            <w:gridSpan w:val="4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порядка формирования, ведения, обязательного опубликования перечня муниципального 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ущества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="00BF4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Ростовский 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Мечетлинский</w:t>
      </w:r>
      <w:proofErr w:type="spellEnd"/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целях предоставления во владение и (или)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физическим лицам, не являющим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 индивидуальными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предпринимателями и применяющим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специальный налоговый режим «н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алог на профессиональный доход»</w:t>
      </w:r>
    </w:p>
    <w:p w:rsidR="0048685C" w:rsidRP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59F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645 «Об имущественной поддержке субъектов малого и среднего предпринимательства при предоставлении федерального имущества» Совет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E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Ростовский 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proofErr w:type="spell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</w:p>
    <w:p w:rsidR="0048685C" w:rsidRPr="0048685C" w:rsidRDefault="0048685C" w:rsidP="005335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:rsidR="0048685C" w:rsidRPr="0048685C" w:rsidRDefault="0048685C" w:rsidP="004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E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2E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proofErr w:type="spell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P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2E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2E43AA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И.М.Галимов</w:t>
      </w:r>
      <w:proofErr w:type="spellEnd"/>
    </w:p>
    <w:p w:rsidR="0048685C" w:rsidRDefault="0048685C" w:rsidP="0048685C"/>
    <w:p w:rsidR="000774A7" w:rsidRDefault="000774A7" w:rsidP="0048685C"/>
    <w:p w:rsidR="000774A7" w:rsidRDefault="000774A7" w:rsidP="000774A7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74A7" w:rsidRDefault="000774A7" w:rsidP="000774A7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сельского поселения Ростовский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0774A7" w:rsidRDefault="000774A7" w:rsidP="000774A7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сентября 2021 г. № 99</w:t>
      </w:r>
    </w:p>
    <w:p w:rsidR="000774A7" w:rsidRPr="00235A6C" w:rsidRDefault="000774A7" w:rsidP="000774A7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774A7" w:rsidRPr="00235A6C" w:rsidRDefault="000774A7" w:rsidP="000774A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774A7" w:rsidRDefault="000774A7" w:rsidP="000774A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</w:t>
      </w:r>
      <w:r>
        <w:rPr>
          <w:rFonts w:ascii="Times New Roman" w:hAnsi="Times New Roman" w:cs="Times New Roman"/>
          <w:b w:val="0"/>
          <w:sz w:val="24"/>
          <w:szCs w:val="24"/>
        </w:rPr>
        <w:t>оставления во владение и (или)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</w:t>
      </w:r>
      <w:r>
        <w:rPr>
          <w:rFonts w:ascii="Times New Roman" w:hAnsi="Times New Roman" w:cs="Times New Roman"/>
          <w:b w:val="0"/>
          <w:sz w:val="24"/>
          <w:szCs w:val="24"/>
        </w:rPr>
        <w:t>щим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ся индивидуальными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предпринимателями и применяющим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</w:t>
      </w:r>
    </w:p>
    <w:p w:rsidR="000774A7" w:rsidRPr="00235A6C" w:rsidRDefault="000774A7" w:rsidP="000774A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  <w:r w:rsidRPr="00235A6C">
        <w:rPr>
          <w:rFonts w:ascii="Times New Roman" w:hAnsi="Times New Roman" w:cs="Times New Roman"/>
          <w:b w:val="0"/>
          <w:sz w:val="24"/>
          <w:szCs w:val="24"/>
        </w:rPr>
        <w:t>«Налог на профессиональный доход»</w:t>
      </w:r>
    </w:p>
    <w:p w:rsidR="000774A7" w:rsidRPr="00235A6C" w:rsidRDefault="000774A7" w:rsidP="000774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</w:t>
      </w:r>
      <w:r>
        <w:rPr>
          <w:rFonts w:ascii="Times New Roman" w:hAnsi="Times New Roman" w:cs="Times New Roman"/>
          <w:sz w:val="24"/>
          <w:szCs w:val="24"/>
        </w:rPr>
        <w:t>оставления во владение и (или)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0774A7" w:rsidRPr="00C03EDB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</w:t>
      </w:r>
      <w:r w:rsidRPr="00C03EDB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 не принято решение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 сельсовет</w:t>
      </w:r>
      <w:r w:rsidRPr="00C03E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3EDB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C03E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предоставлении его иным лицам;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</w:t>
      </w:r>
      <w:r w:rsidRPr="00235A6C">
        <w:rPr>
          <w:rFonts w:ascii="Times New Roman" w:hAnsi="Times New Roman" w:cs="Times New Roman"/>
          <w:sz w:val="24"/>
          <w:szCs w:val="24"/>
        </w:rPr>
        <w:lastRenderedPageBreak/>
        <w:t>исключением земельных участков, предоставленных в аренду субъектам малого и среднего предпринимательства;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</w:t>
      </w:r>
      <w:r w:rsidRPr="00C03EDB">
        <w:rPr>
          <w:rFonts w:ascii="Times New Roman" w:hAnsi="Times New Roman" w:cs="Times New Roman"/>
          <w:sz w:val="24"/>
          <w:szCs w:val="24"/>
        </w:rPr>
        <w:t>а также письменное согласие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Ростовский сельсовет </w:t>
      </w:r>
      <w:r w:rsidRPr="00C03E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03EDB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C03E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</w:t>
      </w:r>
      <w:r w:rsidRPr="00235A6C">
        <w:rPr>
          <w:rFonts w:ascii="Times New Roman" w:hAnsi="Times New Roman" w:cs="Times New Roman"/>
          <w:sz w:val="24"/>
          <w:szCs w:val="24"/>
        </w:rPr>
        <w:t>имущества в перечень в целях предоставления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во владение и (или)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Ростовский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 на основе предложений</w:t>
      </w:r>
      <w:r w:rsidRPr="000E2B2D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Ростовский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r w:rsidRPr="00C03EDB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Ростовский сельсовет</w:t>
      </w:r>
      <w:r w:rsidRPr="00C03E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3EDB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C03EDB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235A6C">
        <w:rPr>
          <w:rFonts w:ascii="Times New Roman" w:hAnsi="Times New Roman" w:cs="Times New Roman"/>
          <w:sz w:val="24"/>
          <w:szCs w:val="24"/>
        </w:rPr>
        <w:t xml:space="preserve"> Башкортостан 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- об отказе в учете предложений.</w:t>
      </w:r>
    </w:p>
    <w:p w:rsidR="000774A7" w:rsidRPr="00235A6C" w:rsidRDefault="000774A7" w:rsidP="000774A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 принятия решения о внесении изменений в перечень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Ростовский сельсовет</w:t>
      </w:r>
      <w:r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принимает решение о внесении изменений в перечень.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0774A7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 обязательному официальному опубликованию в сети Интернет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Ростовский сельсовет</w:t>
      </w:r>
      <w:r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4A7" w:rsidRPr="00235A6C" w:rsidRDefault="000774A7" w:rsidP="000774A7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8. Администраци</w:t>
      </w:r>
      <w:r>
        <w:rPr>
          <w:rFonts w:ascii="Times New Roman" w:hAnsi="Times New Roman" w:cs="Times New Roman"/>
          <w:sz w:val="24"/>
          <w:szCs w:val="24"/>
        </w:rPr>
        <w:t>я сельского поселения Ростовский сельсовет</w:t>
      </w:r>
      <w:r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</w:t>
      </w:r>
      <w:r>
        <w:rPr>
          <w:rFonts w:ascii="Times New Roman" w:hAnsi="Times New Roman" w:cs="Times New Roman"/>
          <w:sz w:val="24"/>
          <w:szCs w:val="24"/>
        </w:rPr>
        <w:t>ередачи им во владение и (или)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пользование муниципального имущества, указанного в пункте 2 настоящего Порядка.</w:t>
      </w:r>
    </w:p>
    <w:p w:rsidR="000774A7" w:rsidRPr="00235A6C" w:rsidRDefault="000774A7" w:rsidP="000774A7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4A7" w:rsidRDefault="000774A7" w:rsidP="0048685C"/>
    <w:sectPr w:rsidR="000774A7" w:rsidSect="00AE62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0774A7"/>
    <w:rsid w:val="001318F2"/>
    <w:rsid w:val="00254B47"/>
    <w:rsid w:val="002E43AA"/>
    <w:rsid w:val="0048685C"/>
    <w:rsid w:val="004C3769"/>
    <w:rsid w:val="0053359F"/>
    <w:rsid w:val="00683AFC"/>
    <w:rsid w:val="00A315AC"/>
    <w:rsid w:val="00AE2884"/>
    <w:rsid w:val="00AE6296"/>
    <w:rsid w:val="00B03268"/>
    <w:rsid w:val="00BF4EC6"/>
    <w:rsid w:val="00C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13C"/>
  <w15:docId w15:val="{8128617F-6168-45DE-B9EC-E6F0D47B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Документы</cp:lastModifiedBy>
  <cp:revision>11</cp:revision>
  <cp:lastPrinted>2021-09-08T11:34:00Z</cp:lastPrinted>
  <dcterms:created xsi:type="dcterms:W3CDTF">2021-09-08T10:43:00Z</dcterms:created>
  <dcterms:modified xsi:type="dcterms:W3CDTF">2021-09-09T05:08:00Z</dcterms:modified>
</cp:coreProperties>
</file>